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0E3A2C" w:val="clear"/>
            <w:tcMar>
              <w:top w:type="dxa" w:w="160"/>
              <w:left w:type="dxa" w:w="200"/>
              <w:bottom w:type="dxa" w:w="160"/>
              <w:right w:type="dxa" w:w="200"/>
            </w:tcMar>
          </w:tcPr>
          <w:p>
            <w:pPr>
              <w:spacing w:after="20"/>
            </w:pPr>
            <w:r>
              <w:rPr>
                <w:rFonts w:ascii="Public Sans" w:cs="Public Sans" w:eastAsia="Public Sans" w:hAnsi="Public Sans"/>
                <w:b/>
                <w:bCs/>
                <w:i w:val="false"/>
                <w:iCs w:val="false"/>
                <w:color w:val="FFFFFF"/>
                <w:sz w:val="34"/>
                <w:szCs w:val="34"/>
              </w:rPr>
              <w:t xml:space="preserve">SOP Starter Set</w:t>
            </w:r>
          </w:p>
          <w:p>
            <w:r>
              <w:rPr>
                <w:rFonts w:ascii="Public Sans" w:cs="Public Sans" w:eastAsia="Public Sans" w:hAnsi="Public Sans"/>
                <w:b w:val="false"/>
                <w:bCs w:val="false"/>
                <w:i w:val="false"/>
                <w:iCs w:val="false"/>
                <w:color w:val="CDE4D8"/>
                <w:sz w:val="18"/>
                <w:szCs w:val="18"/>
              </w:rPr>
              <w:t xml:space="preserve">A consistent template, a naming convention, and four operational SOPs to build on.</w:t>
            </w:r>
          </w:p>
        </w:tc>
      </w:tr>
    </w:tbl>
    <w:p>
      <w:pPr>
        <w:spacing w:after="60" w:before="0" w:line="276"/>
      </w:pPr>
      <w:r>
        <w:rPr>
          <w:rFonts w:ascii="Public Sans" w:cs="Public Sans" w:eastAsia="Public Sans" w:hAnsi="Public Sans"/>
          <w:b w:val="false"/>
          <w:bCs w:val="false"/>
          <w:i w:val="false"/>
          <w:iCs w:val="false"/>
          <w:color w:val="1B2B25"/>
          <w:sz w:val="20"/>
          <w:szCs w:val="20"/>
        </w:rPr>
        <w:t xml:space="preserve"/>
      </w:r>
    </w:p>
    <w:p>
      <w:pPr>
        <w:pStyle w:val="Heading1"/>
        <w:spacing w:after="100" w:before="220"/>
      </w:pPr>
      <w:r>
        <w:rPr>
          <w:rFonts w:ascii="Public Sans" w:cs="Public Sans" w:eastAsia="Public Sans" w:hAnsi="Public Sans"/>
          <w:b/>
          <w:bCs/>
          <w:i w:val="false"/>
          <w:iCs w:val="false"/>
          <w:color w:val="14614A"/>
          <w:sz w:val="26"/>
          <w:szCs w:val="26"/>
        </w:rPr>
        <w:t xml:space="preserve">How to use this set</w:t>
      </w:r>
    </w:p>
    <w:p>
      <w:pPr>
        <w:spacing w:after="120" w:before="0" w:line="276"/>
      </w:pPr>
      <w:r>
        <w:rPr>
          <w:rFonts w:ascii="Public Sans" w:cs="Public Sans" w:eastAsia="Public Sans" w:hAnsi="Public Sans"/>
          <w:b w:val="false"/>
          <w:bCs w:val="false"/>
          <w:i w:val="false"/>
          <w:iCs w:val="false"/>
          <w:color w:val="1B2B25"/>
          <w:sz w:val="20"/>
          <w:szCs w:val="20"/>
        </w:rPr>
        <w:t xml:space="preserve">This is a starter, not a finished library. It gives you one consistent SOP format, a naming convention, and four operational SOPs already written to that format. Copy them, adapt the steps to how your firm actually works, and add your own using the same template and naming pattern. Keep every SOP operational: procedures the team follows. Legal determinations stay with the attorney and are never encoded here.</w:t>
      </w:r>
    </w:p>
    <w:p>
      <w:pPr>
        <w:pStyle w:val="Heading1"/>
        <w:spacing w:after="100" w:before="220"/>
      </w:pPr>
      <w:r>
        <w:rPr>
          <w:rFonts w:ascii="Public Sans" w:cs="Public Sans" w:eastAsia="Public Sans" w:hAnsi="Public Sans"/>
          <w:b/>
          <w:bCs/>
          <w:i w:val="false"/>
          <w:iCs w:val="false"/>
          <w:color w:val="14614A"/>
          <w:sz w:val="26"/>
          <w:szCs w:val="26"/>
        </w:rPr>
        <w:t xml:space="preserve">Naming convention</w:t>
      </w:r>
    </w:p>
    <w:p>
      <w:pPr>
        <w:spacing w:after="100" w:before="0" w:line="276"/>
      </w:pPr>
      <w:r>
        <w:rPr>
          <w:rFonts w:ascii="Public Sans" w:cs="Public Sans" w:eastAsia="Public Sans" w:hAnsi="Public Sans"/>
          <w:b w:val="false"/>
          <w:bCs w:val="false"/>
          <w:i w:val="false"/>
          <w:iCs w:val="false"/>
          <w:color w:val="6A6A6A"/>
          <w:sz w:val="20"/>
          <w:szCs w:val="20"/>
        </w:rPr>
        <w:t xml:space="preserve">Pick one pattern and apply it everywhere, so any SOP's name tells you its area, process, and version at a glance.</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3182"/>
        <w:gridCol w:w="3182"/>
        <w:gridCol w:w="2996"/>
      </w:tblGrid>
      <w:tr>
        <w:trPr>
          <w:tblHeader/>
        </w:trPr>
        <w:tc>
          <w:tcPr>
            <w:tcW w:type="dxa" w:w="3182"/>
            <w:shd w:fill="14614A" w:val="clear"/>
            <w:tcMar>
              <w:top w:type="dxa" w:w="60"/>
              <w:left w:type="dxa" w:w="110"/>
              <w:bottom w:type="dxa" w:w="60"/>
              <w:right w:type="dxa" w:w="110"/>
            </w:tcMar>
          </w:tcPr>
          <w:p>
            <w:r>
              <w:rPr>
                <w:rFonts w:ascii="Public Sans" w:cs="Public Sans" w:eastAsia="Public Sans" w:hAnsi="Public Sans"/>
                <w:b/>
                <w:bCs/>
                <w:i w:val="false"/>
                <w:iCs w:val="false"/>
                <w:color w:val="FFFFFF"/>
                <w:sz w:val="19"/>
                <w:szCs w:val="19"/>
              </w:rPr>
              <w:t xml:space="preserve">Pattern</w:t>
            </w:r>
          </w:p>
        </w:tc>
        <w:tc>
          <w:tcPr>
            <w:tcW w:type="dxa" w:w="3182"/>
            <w:shd w:fill="14614A" w:val="clear"/>
            <w:tcMar>
              <w:top w:type="dxa" w:w="60"/>
              <w:left w:type="dxa" w:w="110"/>
              <w:bottom w:type="dxa" w:w="60"/>
              <w:right w:type="dxa" w:w="110"/>
            </w:tcMar>
          </w:tcPr>
          <w:p>
            <w:r>
              <w:rPr>
                <w:rFonts w:ascii="Public Sans" w:cs="Public Sans" w:eastAsia="Public Sans" w:hAnsi="Public Sans"/>
                <w:b/>
                <w:bCs/>
                <w:i w:val="false"/>
                <w:iCs w:val="false"/>
                <w:color w:val="FFFFFF"/>
                <w:sz w:val="19"/>
                <w:szCs w:val="19"/>
              </w:rPr>
              <w:t xml:space="preserve">Example</w:t>
            </w:r>
          </w:p>
        </w:tc>
        <w:tc>
          <w:tcPr>
            <w:tcW w:type="dxa" w:w="2996"/>
            <w:shd w:fill="14614A" w:val="clear"/>
            <w:tcMar>
              <w:top w:type="dxa" w:w="60"/>
              <w:left w:type="dxa" w:w="110"/>
              <w:bottom w:type="dxa" w:w="60"/>
              <w:right w:type="dxa" w:w="110"/>
            </w:tcMar>
          </w:tcPr>
          <w:p>
            <w:r>
              <w:rPr>
                <w:rFonts w:ascii="Public Sans" w:cs="Public Sans" w:eastAsia="Public Sans" w:hAnsi="Public Sans"/>
                <w:b/>
                <w:bCs/>
                <w:i w:val="false"/>
                <w:iCs w:val="false"/>
                <w:color w:val="FFFFFF"/>
                <w:sz w:val="19"/>
                <w:szCs w:val="19"/>
              </w:rPr>
              <w:t xml:space="preserve">What it tells you</w:t>
            </w:r>
          </w:p>
        </w:tc>
      </w:tr>
      <w:tr>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[Area]-[Process]-v[NN]</w:t>
            </w:r>
          </w:p>
        </w:tc>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INTAKE-NewMatter-v03</w:t>
            </w:r>
          </w:p>
        </w:tc>
        <w:tc>
          <w:tcPr>
            <w:tcW w:type="dxa" w:w="2996"/>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Area, process, and that it is version 3</w:t>
            </w:r>
          </w:p>
        </w:tc>
      </w:tr>
      <w:tr>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[Area]-[Process]-v[NN]</w:t>
            </w:r>
          </w:p>
        </w:tc>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DEADLINE-RFEResponse-v02</w:t>
            </w:r>
          </w:p>
        </w:tc>
        <w:tc>
          <w:tcPr>
            <w:tcW w:type="dxa" w:w="2996"/>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 deadlines SOP for RFE responses, v2</w:t>
            </w:r>
          </w:p>
        </w:tc>
      </w:tr>
      <w:tr>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[Area]-[Process]-v[NN]</w:t>
            </w:r>
          </w:p>
        </w:tc>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BILL-TrustReconcile-v01</w:t>
            </w:r>
          </w:p>
        </w:tc>
        <w:tc>
          <w:tcPr>
            <w:tcW w:type="dxa" w:w="2996"/>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 billing SOP for trust reconciliation, v1</w:t>
            </w:r>
          </w:p>
        </w:tc>
      </w:tr>
      <w:tr>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[Area]-[Process]-v[NN]</w:t>
            </w:r>
          </w:p>
        </w:tc>
        <w:tc>
          <w:tcPr>
            <w:tcW w:type="dxa" w:w="3182"/>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HR-Onboarding-v04</w:t>
            </w:r>
          </w:p>
        </w:tc>
        <w:tc>
          <w:tcPr>
            <w:tcW w:type="dxa" w:w="2996"/>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An HR onboarding SOP, version 4</w:t>
            </w:r>
          </w:p>
        </w:tc>
      </w:tr>
    </w:tbl>
    <w:p>
      <w:pPr>
        <w:spacing w:after="40" w:before="100" w:line="276"/>
      </w:pPr>
      <w:r>
        <w:rPr>
          <w:rFonts w:ascii="Public Sans" w:cs="Public Sans" w:eastAsia="Public Sans" w:hAnsi="Public Sans"/>
          <w:b w:val="false"/>
          <w:bCs w:val="false"/>
          <w:i/>
          <w:iCs/>
          <w:color w:val="6A6A6A"/>
          <w:sz w:val="18"/>
          <w:szCs w:val="18"/>
        </w:rPr>
        <w:t xml:space="preserve">Store all SOPs in one home, grouped by area, with an index. Give each a short metadata header (owner, last updated).</w:t>
      </w:r>
    </w:p>
    <w:p>
      <w:pPr>
        <w:pStyle w:val="Heading1"/>
        <w:spacing w:after="100" w:before="220"/>
      </w:pPr>
      <w:r>
        <w:rPr>
          <w:rFonts w:ascii="Public Sans" w:cs="Public Sans" w:eastAsia="Public Sans" w:hAnsi="Public Sans"/>
          <w:b/>
          <w:bCs/>
          <w:i w:val="false"/>
          <w:iCs w:val="false"/>
          <w:color w:val="14614A"/>
          <w:sz w:val="26"/>
          <w:szCs w:val="26"/>
        </w:rPr>
        <w:t xml:space="preserve">The SOP template</w:t>
      </w:r>
    </w:p>
    <w:p>
      <w:pPr>
        <w:spacing w:after="120" w:before="0" w:line="276"/>
      </w:pPr>
      <w:r>
        <w:rPr>
          <w:rFonts w:ascii="Public Sans" w:cs="Public Sans" w:eastAsia="Public Sans" w:hAnsi="Public Sans"/>
          <w:b w:val="false"/>
          <w:bCs w:val="false"/>
          <w:i w:val="false"/>
          <w:iCs w:val="false"/>
          <w:color w:val="1B2B25"/>
          <w:sz w:val="20"/>
          <w:szCs w:val="20"/>
        </w:rPr>
        <w:t xml:space="preserve">Every SOP in the library uses these fields: </w:t>
      </w:r>
      <w:r>
        <w:rPr>
          <w:rFonts w:ascii="Public Sans" w:cs="Public Sans" w:eastAsia="Public Sans" w:hAnsi="Public Sans"/>
          <w:b/>
          <w:bCs/>
          <w:i w:val="false"/>
          <w:iCs w:val="false"/>
          <w:color w:val="1B2B25"/>
          <w:sz w:val="20"/>
          <w:szCs w:val="20"/>
        </w:rPr>
        <w:t xml:space="preserve">SOP ID, Title, Owner, Last updated, Purpose, Trigger, Steps, Checks, Related SOPs.</w:t>
      </w:r>
    </w:p>
    <w:p>
      <w:pPr>
        <w:pStyle w:val="Heading1"/>
        <w:spacing w:after="100" w:before="220"/>
      </w:pPr>
      <w:r>
        <w:rPr>
          <w:rFonts w:ascii="Public Sans" w:cs="Public Sans" w:eastAsia="Public Sans" w:hAnsi="Public Sans"/>
          <w:b/>
          <w:bCs/>
          <w:i w:val="false"/>
          <w:iCs w:val="false"/>
          <w:color w:val="14614A"/>
          <w:sz w:val="26"/>
          <w:szCs w:val="26"/>
        </w:rPr>
        <w:t xml:space="preserve">Starter SOPs</w:t>
      </w:r>
    </w:p>
    <w:p>
      <w:pPr>
        <w:pStyle w:val="Heading2"/>
        <w:spacing w:after="70" w:before="160"/>
      </w:pPr>
      <w:r>
        <w:rPr>
          <w:rFonts w:ascii="Public Sans" w:cs="Public Sans" w:eastAsia="Public Sans" w:hAnsi="Public Sans"/>
          <w:b/>
          <w:bCs/>
          <w:i w:val="false"/>
          <w:iCs w:val="false"/>
          <w:color w:val="0E3A2C"/>
          <w:sz w:val="22"/>
          <w:szCs w:val="22"/>
        </w:rPr>
        <w:t xml:space="preserve">Open a New Matter</w:t>
      </w:r>
    </w:p>
    <w:p>
      <w:pPr>
        <w:spacing w:after="80" w:before="0" w:line="276"/>
      </w:pPr>
      <w:r>
        <w:rPr>
          <w:rFonts w:ascii="Public Sans" w:cs="Public Sans" w:eastAsia="Public Sans" w:hAnsi="Public Sans"/>
          <w:b/>
          <w:bCs/>
          <w:i w:val="false"/>
          <w:iCs w:val="false"/>
          <w:color w:val="7A2833"/>
          <w:sz w:val="17"/>
          <w:szCs w:val="17"/>
        </w:rPr>
        <w:t xml:space="preserve">INTAKE-NewMatter-v01</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2246"/>
        <w:gridCol w:w="7114"/>
      </w:tblGrid>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SOP ID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INTAKE-NewMatter-v01</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Title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Open a New Matter</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Owner (role)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Intake owner / paralegal</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Last updated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____ / adapt on change</w:t>
            </w:r>
          </w:p>
        </w:tc>
      </w:tr>
    </w:tbl>
    <w:p>
      <w:pPr>
        <w:spacing w:after="30" w:before="120" w:line="276"/>
      </w:pPr>
      <w:r>
        <w:rPr>
          <w:rFonts w:ascii="Public Sans" w:cs="Public Sans" w:eastAsia="Public Sans" w:hAnsi="Public Sans"/>
          <w:b/>
          <w:bCs/>
          <w:i w:val="false"/>
          <w:iCs w:val="false"/>
          <w:color w:val="0E3A2C"/>
          <w:sz w:val="20"/>
          <w:szCs w:val="20"/>
        </w:rPr>
        <w:t xml:space="preserve">Purpose</w:t>
      </w:r>
    </w:p>
    <w:p>
      <w:pPr>
        <w:spacing w:after="80" w:before="0" w:line="276"/>
      </w:pPr>
      <w:r>
        <w:rPr>
          <w:rFonts w:ascii="Public Sans" w:cs="Public Sans" w:eastAsia="Public Sans" w:hAnsi="Public Sans"/>
          <w:b w:val="false"/>
          <w:bCs w:val="false"/>
          <w:i w:val="false"/>
          <w:iCs w:val="false"/>
          <w:color w:val="1B2B25"/>
          <w:sz w:val="20"/>
          <w:szCs w:val="20"/>
        </w:rPr>
        <w:t xml:space="preserve">Open every new matter the same way so nothing is missed at the most error-prone moment.</w:t>
      </w:r>
    </w:p>
    <w:p>
      <w:pPr>
        <w:spacing w:after="30" w:before="0" w:line="276"/>
      </w:pPr>
      <w:r>
        <w:rPr>
          <w:rFonts w:ascii="Public Sans" w:cs="Public Sans" w:eastAsia="Public Sans" w:hAnsi="Public Sans"/>
          <w:b/>
          <w:bCs/>
          <w:i w:val="false"/>
          <w:iCs w:val="false"/>
          <w:color w:val="0E3A2C"/>
          <w:sz w:val="20"/>
          <w:szCs w:val="20"/>
        </w:rPr>
        <w:t xml:space="preserve">Trigger</w:t>
      </w:r>
    </w:p>
    <w:p>
      <w:pPr>
        <w:spacing w:after="80" w:before="0" w:line="276"/>
      </w:pPr>
      <w:r>
        <w:rPr>
          <w:rFonts w:ascii="Public Sans" w:cs="Public Sans" w:eastAsia="Public Sans" w:hAnsi="Public Sans"/>
          <w:b w:val="false"/>
          <w:bCs w:val="false"/>
          <w:i w:val="false"/>
          <w:iCs w:val="false"/>
          <w:color w:val="1B2B25"/>
          <w:sz w:val="20"/>
          <w:szCs w:val="20"/>
        </w:rPr>
        <w:t xml:space="preserve">A new client engagement is confirmed.</w:t>
      </w:r>
    </w:p>
    <w:p>
      <w:pPr>
        <w:spacing w:after="40" w:before="0" w:line="276"/>
      </w:pPr>
      <w:r>
        <w:rPr>
          <w:rFonts w:ascii="Public Sans" w:cs="Public Sans" w:eastAsia="Public Sans" w:hAnsi="Public Sans"/>
          <w:b/>
          <w:bCs/>
          <w:i w:val="false"/>
          <w:iCs w:val="false"/>
          <w:color w:val="0E3A2C"/>
          <w:sz w:val="20"/>
          <w:szCs w:val="20"/>
        </w:rPr>
        <w:t xml:space="preserve">Steps</w:t>
      </w:r>
    </w:p>
    <w:p>
      <w:pPr>
        <w:spacing w:after="60" w:before="0" w:line="264"/>
      </w:pPr>
      <w:r>
        <w:rPr>
          <w:rFonts w:ascii="Public Sans" w:cs="Public Sans" w:eastAsia="Public Sans" w:hAnsi="Public Sans"/>
          <w:b/>
          <w:bCs/>
          <w:i w:val="false"/>
          <w:iCs w:val="false"/>
          <w:color w:val="14614A"/>
          <w:sz w:val="20"/>
          <w:szCs w:val="20"/>
        </w:rPr>
        <w:t xml:space="preserve">1.  </w:t>
      </w:r>
      <w:r>
        <w:rPr>
          <w:rFonts w:ascii="Public Sans" w:cs="Public Sans" w:eastAsia="Public Sans" w:hAnsi="Public Sans"/>
          <w:b w:val="false"/>
          <w:bCs w:val="false"/>
          <w:i w:val="false"/>
          <w:iCs w:val="false"/>
          <w:color w:val="1B2B25"/>
          <w:sz w:val="20"/>
          <w:szCs w:val="20"/>
        </w:rPr>
        <w:t xml:space="preserve">Capture the inquiry details and matter label (metadata only).</w:t>
      </w:r>
    </w:p>
    <w:p>
      <w:pPr>
        <w:spacing w:after="60" w:before="0" w:line="264"/>
      </w:pPr>
      <w:r>
        <w:rPr>
          <w:rFonts w:ascii="Public Sans" w:cs="Public Sans" w:eastAsia="Public Sans" w:hAnsi="Public Sans"/>
          <w:b/>
          <w:bCs/>
          <w:i w:val="false"/>
          <w:iCs w:val="false"/>
          <w:color w:val="14614A"/>
          <w:sz w:val="20"/>
          <w:szCs w:val="20"/>
        </w:rPr>
        <w:t xml:space="preserve">2.  </w:t>
      </w:r>
      <w:r>
        <w:rPr>
          <w:rFonts w:ascii="Public Sans" w:cs="Public Sans" w:eastAsia="Public Sans" w:hAnsi="Public Sans"/>
          <w:b w:val="false"/>
          <w:bCs w:val="false"/>
          <w:i w:val="false"/>
          <w:iCs w:val="false"/>
          <w:color w:val="1B2B25"/>
          <w:sz w:val="20"/>
          <w:szCs w:val="20"/>
        </w:rPr>
        <w:t xml:space="preserve">Trigger the conflict check and surface results to the attorney; do not proceed until cleared.</w:t>
      </w:r>
    </w:p>
    <w:p>
      <w:pPr>
        <w:spacing w:after="60" w:before="0" w:line="264"/>
      </w:pPr>
      <w:r>
        <w:rPr>
          <w:rFonts w:ascii="Public Sans" w:cs="Public Sans" w:eastAsia="Public Sans" w:hAnsi="Public Sans"/>
          <w:b/>
          <w:bCs/>
          <w:i w:val="false"/>
          <w:iCs w:val="false"/>
          <w:color w:val="14614A"/>
          <w:sz w:val="20"/>
          <w:szCs w:val="20"/>
        </w:rPr>
        <w:t xml:space="preserve">3.  </w:t>
      </w:r>
      <w:r>
        <w:rPr>
          <w:rFonts w:ascii="Public Sans" w:cs="Public Sans" w:eastAsia="Public Sans" w:hAnsi="Public Sans"/>
          <w:b w:val="false"/>
          <w:bCs w:val="false"/>
          <w:i w:val="false"/>
          <w:iCs w:val="false"/>
          <w:color w:val="1B2B25"/>
          <w:sz w:val="20"/>
          <w:szCs w:val="20"/>
        </w:rPr>
        <w:t xml:space="preserve">Open the matter and assign the matter number.</w:t>
      </w:r>
    </w:p>
    <w:p>
      <w:pPr>
        <w:spacing w:after="60" w:before="0" w:line="264"/>
      </w:pPr>
      <w:r>
        <w:rPr>
          <w:rFonts w:ascii="Public Sans" w:cs="Public Sans" w:eastAsia="Public Sans" w:hAnsi="Public Sans"/>
          <w:b/>
          <w:bCs/>
          <w:i w:val="false"/>
          <w:iCs w:val="false"/>
          <w:color w:val="14614A"/>
          <w:sz w:val="20"/>
          <w:szCs w:val="20"/>
        </w:rPr>
        <w:t xml:space="preserve">4.  </w:t>
      </w:r>
      <w:r>
        <w:rPr>
          <w:rFonts w:ascii="Public Sans" w:cs="Public Sans" w:eastAsia="Public Sans" w:hAnsi="Public Sans"/>
          <w:b w:val="false"/>
          <w:bCs w:val="false"/>
          <w:i w:val="false"/>
          <w:iCs w:val="false"/>
          <w:color w:val="1B2B25"/>
          <w:sz w:val="20"/>
          <w:szCs w:val="20"/>
        </w:rPr>
        <w:t xml:space="preserve">Capture any key dates the attorney has determined (including the limitations date, if applicable) into the deadline system.</w:t>
      </w:r>
    </w:p>
    <w:p>
      <w:pPr>
        <w:spacing w:after="60" w:before="0" w:line="264"/>
      </w:pPr>
      <w:r>
        <w:rPr>
          <w:rFonts w:ascii="Public Sans" w:cs="Public Sans" w:eastAsia="Public Sans" w:hAnsi="Public Sans"/>
          <w:b/>
          <w:bCs/>
          <w:i w:val="false"/>
          <w:iCs w:val="false"/>
          <w:color w:val="14614A"/>
          <w:sz w:val="20"/>
          <w:szCs w:val="20"/>
        </w:rPr>
        <w:t xml:space="preserve">5.  </w:t>
      </w:r>
      <w:r>
        <w:rPr>
          <w:rFonts w:ascii="Public Sans" w:cs="Public Sans" w:eastAsia="Public Sans" w:hAnsi="Public Sans"/>
          <w:b w:val="false"/>
          <w:bCs w:val="false"/>
          <w:i w:val="false"/>
          <w:iCs w:val="false"/>
          <w:color w:val="1B2B25"/>
          <w:sz w:val="20"/>
          <w:szCs w:val="20"/>
        </w:rPr>
        <w:t xml:space="preserve">Assign an owner for the matter and for each captured deadline.</w:t>
      </w:r>
    </w:p>
    <w:p>
      <w:pPr>
        <w:spacing w:after="40" w:before="60" w:line="276"/>
      </w:pPr>
      <w:r>
        <w:rPr>
          <w:rFonts w:ascii="Public Sans" w:cs="Public Sans" w:eastAsia="Public Sans" w:hAnsi="Public Sans"/>
          <w:b/>
          <w:bCs/>
          <w:i w:val="false"/>
          <w:iCs w:val="false"/>
          <w:color w:val="0E3A2C"/>
          <w:sz w:val="20"/>
          <w:szCs w:val="20"/>
        </w:rPr>
        <w:t xml:space="preserve">Checks</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Conflict check surfaced to the attorney and cleared.</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Every attorney-determined date entered into the deadline system.</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Owner assigned.</w:t>
      </w:r>
    </w:p>
    <w:p>
      <w:pPr>
        <w:spacing w:after="60" w:before="60" w:line="276"/>
      </w:pPr>
      <w:r>
        <w:rPr>
          <w:rFonts w:ascii="Public Sans" w:cs="Public Sans" w:eastAsia="Public Sans" w:hAnsi="Public Sans"/>
          <w:b/>
          <w:bCs/>
          <w:i w:val="false"/>
          <w:iCs w:val="false"/>
          <w:color w:val="1B2B25"/>
          <w:sz w:val="20"/>
          <w:szCs w:val="20"/>
        </w:rPr>
        <w:t xml:space="preserve">Related SOPs: </w:t>
      </w:r>
      <w:r>
        <w:rPr>
          <w:rFonts w:ascii="Public Sans" w:cs="Public Sans" w:eastAsia="Public Sans" w:hAnsi="Public Sans"/>
          <w:b w:val="false"/>
          <w:bCs w:val="false"/>
          <w:i w:val="false"/>
          <w:iCs w:val="false"/>
          <w:color w:val="6A6A6A"/>
          <w:sz w:val="20"/>
          <w:szCs w:val="20"/>
        </w:rPr>
        <w:t xml:space="preserve">DEADLINE-Capture-v01, DEADLINE-WeeklyReview-v01</w:t>
      </w:r>
    </w:p>
    <w:p>
      <w:pPr>
        <w:spacing w:after="40" w:before="0" w:line="276"/>
      </w:pPr>
      <w:r>
        <w:rPr>
          <w:rFonts w:ascii="Public Sans" w:cs="Public Sans" w:eastAsia="Public Sans" w:hAnsi="Public Sans"/>
          <w:b w:val="false"/>
          <w:bCs w:val="false"/>
          <w:i w:val="false"/>
          <w:iCs w:val="false"/>
          <w:color w:val="1B2B25"/>
          <w:sz w:val="20"/>
          <w:szCs w:val="20"/>
        </w:rPr>
        <w:t xml:space="preserve"/>
      </w:r>
    </w:p>
    <w:p>
      <w:pPr>
        <w:pStyle w:val="Heading2"/>
        <w:spacing w:after="70" w:before="160"/>
      </w:pPr>
      <w:r>
        <w:rPr>
          <w:rFonts w:ascii="Public Sans" w:cs="Public Sans" w:eastAsia="Public Sans" w:hAnsi="Public Sans"/>
          <w:b/>
          <w:bCs/>
          <w:i w:val="false"/>
          <w:iCs w:val="false"/>
          <w:color w:val="0E3A2C"/>
          <w:sz w:val="22"/>
          <w:szCs w:val="22"/>
        </w:rPr>
        <w:t xml:space="preserve">Capture a Deadline</w:t>
      </w:r>
    </w:p>
    <w:p>
      <w:pPr>
        <w:spacing w:after="80" w:before="0" w:line="276"/>
      </w:pPr>
      <w:r>
        <w:rPr>
          <w:rFonts w:ascii="Public Sans" w:cs="Public Sans" w:eastAsia="Public Sans" w:hAnsi="Public Sans"/>
          <w:b/>
          <w:bCs/>
          <w:i w:val="false"/>
          <w:iCs w:val="false"/>
          <w:color w:val="7A2833"/>
          <w:sz w:val="17"/>
          <w:szCs w:val="17"/>
        </w:rPr>
        <w:t xml:space="preserve">DEADLINE-Capture-v01</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2246"/>
        <w:gridCol w:w="7114"/>
      </w:tblGrid>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SOP ID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DEADLINE-Capture-v01</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Title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Capture a Deadline</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Owner (role)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Paralegal / assigned owner</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Last updated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____ / adapt on change</w:t>
            </w:r>
          </w:p>
        </w:tc>
      </w:tr>
    </w:tbl>
    <w:p>
      <w:pPr>
        <w:spacing w:after="30" w:before="120" w:line="276"/>
      </w:pPr>
      <w:r>
        <w:rPr>
          <w:rFonts w:ascii="Public Sans" w:cs="Public Sans" w:eastAsia="Public Sans" w:hAnsi="Public Sans"/>
          <w:b/>
          <w:bCs/>
          <w:i w:val="false"/>
          <w:iCs w:val="false"/>
          <w:color w:val="0E3A2C"/>
          <w:sz w:val="20"/>
          <w:szCs w:val="20"/>
        </w:rPr>
        <w:t xml:space="preserve">Purpose</w:t>
      </w:r>
    </w:p>
    <w:p>
      <w:pPr>
        <w:spacing w:after="80" w:before="0" w:line="276"/>
      </w:pPr>
      <w:r>
        <w:rPr>
          <w:rFonts w:ascii="Public Sans" w:cs="Public Sans" w:eastAsia="Public Sans" w:hAnsi="Public Sans"/>
          <w:b w:val="false"/>
          <w:bCs w:val="false"/>
          <w:i w:val="false"/>
          <w:iCs w:val="false"/>
          <w:color w:val="1B2B25"/>
          <w:sz w:val="20"/>
          <w:szCs w:val="20"/>
        </w:rPr>
        <w:t xml:space="preserve">Ensure every deadline the attorney determines is captured immediately, so none is ever missed for lack of an entry.</w:t>
      </w:r>
    </w:p>
    <w:p>
      <w:pPr>
        <w:spacing w:after="30" w:before="0" w:line="276"/>
      </w:pPr>
      <w:r>
        <w:rPr>
          <w:rFonts w:ascii="Public Sans" w:cs="Public Sans" w:eastAsia="Public Sans" w:hAnsi="Public Sans"/>
          <w:b/>
          <w:bCs/>
          <w:i w:val="false"/>
          <w:iCs w:val="false"/>
          <w:color w:val="0E3A2C"/>
          <w:sz w:val="20"/>
          <w:szCs w:val="20"/>
        </w:rPr>
        <w:t xml:space="preserve">Trigger</w:t>
      </w:r>
    </w:p>
    <w:p>
      <w:pPr>
        <w:spacing w:after="80" w:before="0" w:line="276"/>
      </w:pPr>
      <w:r>
        <w:rPr>
          <w:rFonts w:ascii="Public Sans" w:cs="Public Sans" w:eastAsia="Public Sans" w:hAnsi="Public Sans"/>
          <w:b w:val="false"/>
          <w:bCs w:val="false"/>
          <w:i w:val="false"/>
          <w:iCs w:val="false"/>
          <w:color w:val="1B2B25"/>
          <w:sz w:val="20"/>
          <w:szCs w:val="20"/>
        </w:rPr>
        <w:t xml:space="preserve">The attorney determines a deadline on any matter.</w:t>
      </w:r>
    </w:p>
    <w:p>
      <w:pPr>
        <w:spacing w:after="40" w:before="0" w:line="276"/>
      </w:pPr>
      <w:r>
        <w:rPr>
          <w:rFonts w:ascii="Public Sans" w:cs="Public Sans" w:eastAsia="Public Sans" w:hAnsi="Public Sans"/>
          <w:b/>
          <w:bCs/>
          <w:i w:val="false"/>
          <w:iCs w:val="false"/>
          <w:color w:val="0E3A2C"/>
          <w:sz w:val="20"/>
          <w:szCs w:val="20"/>
        </w:rPr>
        <w:t xml:space="preserve">Steps</w:t>
      </w:r>
    </w:p>
    <w:p>
      <w:pPr>
        <w:spacing w:after="60" w:before="0" w:line="264"/>
      </w:pPr>
      <w:r>
        <w:rPr>
          <w:rFonts w:ascii="Public Sans" w:cs="Public Sans" w:eastAsia="Public Sans" w:hAnsi="Public Sans"/>
          <w:b/>
          <w:bCs/>
          <w:i w:val="false"/>
          <w:iCs w:val="false"/>
          <w:color w:val="14614A"/>
          <w:sz w:val="20"/>
          <w:szCs w:val="20"/>
        </w:rPr>
        <w:t xml:space="preserve">1.  </w:t>
      </w:r>
      <w:r>
        <w:rPr>
          <w:rFonts w:ascii="Public Sans" w:cs="Public Sans" w:eastAsia="Public Sans" w:hAnsi="Public Sans"/>
          <w:b w:val="false"/>
          <w:bCs w:val="false"/>
          <w:i w:val="false"/>
          <w:iCs w:val="false"/>
          <w:color w:val="1B2B25"/>
          <w:sz w:val="20"/>
          <w:szCs w:val="20"/>
        </w:rPr>
        <w:t xml:space="preserve">Record the attorney-determined date in the deadline system immediately, before moving on.</w:t>
      </w:r>
    </w:p>
    <w:p>
      <w:pPr>
        <w:spacing w:after="60" w:before="0" w:line="264"/>
      </w:pPr>
      <w:r>
        <w:rPr>
          <w:rFonts w:ascii="Public Sans" w:cs="Public Sans" w:eastAsia="Public Sans" w:hAnsi="Public Sans"/>
          <w:b/>
          <w:bCs/>
          <w:i w:val="false"/>
          <w:iCs w:val="false"/>
          <w:color w:val="14614A"/>
          <w:sz w:val="20"/>
          <w:szCs w:val="20"/>
        </w:rPr>
        <w:t xml:space="preserve">2.  </w:t>
      </w:r>
      <w:r>
        <w:rPr>
          <w:rFonts w:ascii="Public Sans" w:cs="Public Sans" w:eastAsia="Public Sans" w:hAnsi="Public Sans"/>
          <w:b w:val="false"/>
          <w:bCs w:val="false"/>
          <w:i w:val="false"/>
          <w:iCs w:val="false"/>
          <w:color w:val="1B2B25"/>
          <w:sz w:val="20"/>
          <w:szCs w:val="20"/>
        </w:rPr>
        <w:t xml:space="preserve">Assign a responsible owner for the date.</w:t>
      </w:r>
    </w:p>
    <w:p>
      <w:pPr>
        <w:spacing w:after="60" w:before="0" w:line="264"/>
      </w:pPr>
      <w:r>
        <w:rPr>
          <w:rFonts w:ascii="Public Sans" w:cs="Public Sans" w:eastAsia="Public Sans" w:hAnsi="Public Sans"/>
          <w:b/>
          <w:bCs/>
          <w:i w:val="false"/>
          <w:iCs w:val="false"/>
          <w:color w:val="14614A"/>
          <w:sz w:val="20"/>
          <w:szCs w:val="20"/>
        </w:rPr>
        <w:t xml:space="preserve">3.  </w:t>
      </w:r>
      <w:r>
        <w:rPr>
          <w:rFonts w:ascii="Public Sans" w:cs="Public Sans" w:eastAsia="Public Sans" w:hAnsi="Public Sans"/>
          <w:b w:val="false"/>
          <w:bCs w:val="false"/>
          <w:i w:val="false"/>
          <w:iCs w:val="false"/>
          <w:color w:val="1B2B25"/>
          <w:sz w:val="20"/>
          <w:szCs w:val="20"/>
        </w:rPr>
        <w:t xml:space="preserve">Confirm reminders are scheduled working back from the date (lead-time ladder).</w:t>
      </w:r>
    </w:p>
    <w:p>
      <w:pPr>
        <w:spacing w:after="60" w:before="0" w:line="264"/>
      </w:pPr>
      <w:r>
        <w:rPr>
          <w:rFonts w:ascii="Public Sans" w:cs="Public Sans" w:eastAsia="Public Sans" w:hAnsi="Public Sans"/>
          <w:b/>
          <w:bCs/>
          <w:i w:val="false"/>
          <w:iCs w:val="false"/>
          <w:color w:val="14614A"/>
          <w:sz w:val="20"/>
          <w:szCs w:val="20"/>
        </w:rPr>
        <w:t xml:space="preserve">4.  </w:t>
      </w:r>
      <w:r>
        <w:rPr>
          <w:rFonts w:ascii="Public Sans" w:cs="Public Sans" w:eastAsia="Public Sans" w:hAnsi="Public Sans"/>
          <w:b w:val="false"/>
          <w:bCs w:val="false"/>
          <w:i w:val="false"/>
          <w:iCs w:val="false"/>
          <w:color w:val="1B2B25"/>
          <w:sz w:val="20"/>
          <w:szCs w:val="20"/>
        </w:rPr>
        <w:t xml:space="preserve">Confirm the date is held redundantly per the firm's calendaring standard.</w:t>
      </w:r>
    </w:p>
    <w:p>
      <w:pPr>
        <w:spacing w:after="40" w:before="60" w:line="276"/>
      </w:pPr>
      <w:r>
        <w:rPr>
          <w:rFonts w:ascii="Public Sans" w:cs="Public Sans" w:eastAsia="Public Sans" w:hAnsi="Public Sans"/>
          <w:b/>
          <w:bCs/>
          <w:i w:val="false"/>
          <w:iCs w:val="false"/>
          <w:color w:val="0E3A2C"/>
          <w:sz w:val="20"/>
          <w:szCs w:val="20"/>
        </w:rPr>
        <w:t xml:space="preserve">Checks</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Date entered same day it is determined.</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Owner assigned.</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Reminders and redundancy confirmed.</w:t>
      </w:r>
    </w:p>
    <w:p>
      <w:pPr>
        <w:spacing w:after="60" w:before="60" w:line="276"/>
      </w:pPr>
      <w:r>
        <w:rPr>
          <w:rFonts w:ascii="Public Sans" w:cs="Public Sans" w:eastAsia="Public Sans" w:hAnsi="Public Sans"/>
          <w:b/>
          <w:bCs/>
          <w:i w:val="false"/>
          <w:iCs w:val="false"/>
          <w:color w:val="1B2B25"/>
          <w:sz w:val="20"/>
          <w:szCs w:val="20"/>
        </w:rPr>
        <w:t xml:space="preserve">Related SOPs: </w:t>
      </w:r>
      <w:r>
        <w:rPr>
          <w:rFonts w:ascii="Public Sans" w:cs="Public Sans" w:eastAsia="Public Sans" w:hAnsi="Public Sans"/>
          <w:b w:val="false"/>
          <w:bCs w:val="false"/>
          <w:i w:val="false"/>
          <w:iCs w:val="false"/>
          <w:color w:val="6A6A6A"/>
          <w:sz w:val="20"/>
          <w:szCs w:val="20"/>
        </w:rPr>
        <w:t xml:space="preserve">INTAKE-NewMatter-v01, DEADLINE-WeeklyReview-v01</w:t>
      </w:r>
    </w:p>
    <w:p>
      <w:pPr>
        <w:spacing w:after="40" w:before="0" w:line="276"/>
      </w:pPr>
      <w:r>
        <w:rPr>
          <w:rFonts w:ascii="Public Sans" w:cs="Public Sans" w:eastAsia="Public Sans" w:hAnsi="Public Sans"/>
          <w:b w:val="false"/>
          <w:bCs w:val="false"/>
          <w:i w:val="false"/>
          <w:iCs w:val="false"/>
          <w:color w:val="1B2B25"/>
          <w:sz w:val="20"/>
          <w:szCs w:val="20"/>
        </w:rPr>
        <w:t xml:space="preserve"/>
      </w:r>
    </w:p>
    <w:p>
      <w:pPr>
        <w:pStyle w:val="Heading2"/>
        <w:spacing w:after="70" w:before="160"/>
      </w:pPr>
      <w:r>
        <w:rPr>
          <w:rFonts w:ascii="Public Sans" w:cs="Public Sans" w:eastAsia="Public Sans" w:hAnsi="Public Sans"/>
          <w:b/>
          <w:bCs/>
          <w:i w:val="false"/>
          <w:iCs w:val="false"/>
          <w:color w:val="0E3A2C"/>
          <w:sz w:val="22"/>
          <w:szCs w:val="22"/>
        </w:rPr>
        <w:t xml:space="preserve">Weekly Deadline Review</w:t>
      </w:r>
    </w:p>
    <w:p>
      <w:pPr>
        <w:spacing w:after="80" w:before="0" w:line="276"/>
      </w:pPr>
      <w:r>
        <w:rPr>
          <w:rFonts w:ascii="Public Sans" w:cs="Public Sans" w:eastAsia="Public Sans" w:hAnsi="Public Sans"/>
          <w:b/>
          <w:bCs/>
          <w:i w:val="false"/>
          <w:iCs w:val="false"/>
          <w:color w:val="7A2833"/>
          <w:sz w:val="17"/>
          <w:szCs w:val="17"/>
        </w:rPr>
        <w:t xml:space="preserve">DEADLINE-WeeklyReview-v01</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2246"/>
        <w:gridCol w:w="7114"/>
      </w:tblGrid>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SOP ID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DEADLINE-WeeklyReview-v01</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Title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Weekly Deadline Review</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Owner (role)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Firm owner + ops</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Last updated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____ / adapt on change</w:t>
            </w:r>
          </w:p>
        </w:tc>
      </w:tr>
    </w:tbl>
    <w:p>
      <w:pPr>
        <w:spacing w:after="30" w:before="120" w:line="276"/>
      </w:pPr>
      <w:r>
        <w:rPr>
          <w:rFonts w:ascii="Public Sans" w:cs="Public Sans" w:eastAsia="Public Sans" w:hAnsi="Public Sans"/>
          <w:b/>
          <w:bCs/>
          <w:i w:val="false"/>
          <w:iCs w:val="false"/>
          <w:color w:val="0E3A2C"/>
          <w:sz w:val="20"/>
          <w:szCs w:val="20"/>
        </w:rPr>
        <w:t xml:space="preserve">Purpose</w:t>
      </w:r>
    </w:p>
    <w:p>
      <w:pPr>
        <w:spacing w:after="80" w:before="0" w:line="276"/>
      </w:pPr>
      <w:r>
        <w:rPr>
          <w:rFonts w:ascii="Public Sans" w:cs="Public Sans" w:eastAsia="Public Sans" w:hAnsi="Public Sans"/>
          <w:b w:val="false"/>
          <w:bCs w:val="false"/>
          <w:i w:val="false"/>
          <w:iCs w:val="false"/>
          <w:color w:val="1B2B25"/>
          <w:sz w:val="20"/>
          <w:szCs w:val="20"/>
        </w:rPr>
        <w:t xml:space="preserve">A standing weekly look at all live deadlines so nothing sits unnoticed and escalations resolve fast.</w:t>
      </w:r>
    </w:p>
    <w:p>
      <w:pPr>
        <w:spacing w:after="30" w:before="0" w:line="276"/>
      </w:pPr>
      <w:r>
        <w:rPr>
          <w:rFonts w:ascii="Public Sans" w:cs="Public Sans" w:eastAsia="Public Sans" w:hAnsi="Public Sans"/>
          <w:b/>
          <w:bCs/>
          <w:i w:val="false"/>
          <w:iCs w:val="false"/>
          <w:color w:val="0E3A2C"/>
          <w:sz w:val="20"/>
          <w:szCs w:val="20"/>
        </w:rPr>
        <w:t xml:space="preserve">Trigger</w:t>
      </w:r>
    </w:p>
    <w:p>
      <w:pPr>
        <w:spacing w:after="80" w:before="0" w:line="276"/>
      </w:pPr>
      <w:r>
        <w:rPr>
          <w:rFonts w:ascii="Public Sans" w:cs="Public Sans" w:eastAsia="Public Sans" w:hAnsi="Public Sans"/>
          <w:b w:val="false"/>
          <w:bCs w:val="false"/>
          <w:i w:val="false"/>
          <w:iCs w:val="false"/>
          <w:color w:val="1B2B25"/>
          <w:sz w:val="20"/>
          <w:szCs w:val="20"/>
        </w:rPr>
        <w:t xml:space="preserve">Every week, on a fixed day and time.</w:t>
      </w:r>
    </w:p>
    <w:p>
      <w:pPr>
        <w:spacing w:after="40" w:before="0" w:line="276"/>
      </w:pPr>
      <w:r>
        <w:rPr>
          <w:rFonts w:ascii="Public Sans" w:cs="Public Sans" w:eastAsia="Public Sans" w:hAnsi="Public Sans"/>
          <w:b/>
          <w:bCs/>
          <w:i w:val="false"/>
          <w:iCs w:val="false"/>
          <w:color w:val="0E3A2C"/>
          <w:sz w:val="20"/>
          <w:szCs w:val="20"/>
        </w:rPr>
        <w:t xml:space="preserve">Steps</w:t>
      </w:r>
    </w:p>
    <w:p>
      <w:pPr>
        <w:spacing w:after="60" w:before="0" w:line="264"/>
      </w:pPr>
      <w:r>
        <w:rPr>
          <w:rFonts w:ascii="Public Sans" w:cs="Public Sans" w:eastAsia="Public Sans" w:hAnsi="Public Sans"/>
          <w:b/>
          <w:bCs/>
          <w:i w:val="false"/>
          <w:iCs w:val="false"/>
          <w:color w:val="14614A"/>
          <w:sz w:val="20"/>
          <w:szCs w:val="20"/>
        </w:rPr>
        <w:t xml:space="preserve">1.  </w:t>
      </w:r>
      <w:r>
        <w:rPr>
          <w:rFonts w:ascii="Public Sans" w:cs="Public Sans" w:eastAsia="Public Sans" w:hAnsi="Public Sans"/>
          <w:b w:val="false"/>
          <w:bCs w:val="false"/>
          <w:i w:val="false"/>
          <w:iCs w:val="false"/>
          <w:color w:val="1B2B25"/>
          <w:sz w:val="20"/>
          <w:szCs w:val="20"/>
        </w:rPr>
        <w:t xml:space="preserve">Pull all live deadlines and everything at risk or escalated.</w:t>
      </w:r>
    </w:p>
    <w:p>
      <w:pPr>
        <w:spacing w:after="60" w:before="0" w:line="264"/>
      </w:pPr>
      <w:r>
        <w:rPr>
          <w:rFonts w:ascii="Public Sans" w:cs="Public Sans" w:eastAsia="Public Sans" w:hAnsi="Public Sans"/>
          <w:b/>
          <w:bCs/>
          <w:i w:val="false"/>
          <w:iCs w:val="false"/>
          <w:color w:val="14614A"/>
          <w:sz w:val="20"/>
          <w:szCs w:val="20"/>
        </w:rPr>
        <w:t xml:space="preserve">2.  </w:t>
      </w:r>
      <w:r>
        <w:rPr>
          <w:rFonts w:ascii="Public Sans" w:cs="Public Sans" w:eastAsia="Public Sans" w:hAnsi="Public Sans"/>
          <w:b w:val="false"/>
          <w:bCs w:val="false"/>
          <w:i w:val="false"/>
          <w:iCs w:val="false"/>
          <w:color w:val="1B2B25"/>
          <w:sz w:val="20"/>
          <w:szCs w:val="20"/>
        </w:rPr>
        <w:t xml:space="preserve">Confirm each at-risk item has an owner and a plan.</w:t>
      </w:r>
    </w:p>
    <w:p>
      <w:pPr>
        <w:spacing w:after="60" w:before="0" w:line="264"/>
      </w:pPr>
      <w:r>
        <w:rPr>
          <w:rFonts w:ascii="Public Sans" w:cs="Public Sans" w:eastAsia="Public Sans" w:hAnsi="Public Sans"/>
          <w:b/>
          <w:bCs/>
          <w:i w:val="false"/>
          <w:iCs w:val="false"/>
          <w:color w:val="14614A"/>
          <w:sz w:val="20"/>
          <w:szCs w:val="20"/>
        </w:rPr>
        <w:t xml:space="preserve">3.  </w:t>
      </w:r>
      <w:r>
        <w:rPr>
          <w:rFonts w:ascii="Public Sans" w:cs="Public Sans" w:eastAsia="Public Sans" w:hAnsi="Public Sans"/>
          <w:b w:val="false"/>
          <w:bCs w:val="false"/>
          <w:i w:val="false"/>
          <w:iCs w:val="false"/>
          <w:color w:val="1B2B25"/>
          <w:sz w:val="20"/>
          <w:szCs w:val="20"/>
        </w:rPr>
        <w:t xml:space="preserve">Resolve or re-escalate anything stalled.</w:t>
      </w:r>
    </w:p>
    <w:p>
      <w:pPr>
        <w:spacing w:after="60" w:before="0" w:line="264"/>
      </w:pPr>
      <w:r>
        <w:rPr>
          <w:rFonts w:ascii="Public Sans" w:cs="Public Sans" w:eastAsia="Public Sans" w:hAnsi="Public Sans"/>
          <w:b/>
          <w:bCs/>
          <w:i w:val="false"/>
          <w:iCs w:val="false"/>
          <w:color w:val="14614A"/>
          <w:sz w:val="20"/>
          <w:szCs w:val="20"/>
        </w:rPr>
        <w:t xml:space="preserve">4.  </w:t>
      </w:r>
      <w:r>
        <w:rPr>
          <w:rFonts w:ascii="Public Sans" w:cs="Public Sans" w:eastAsia="Public Sans" w:hAnsi="Public Sans"/>
          <w:b w:val="false"/>
          <w:bCs w:val="false"/>
          <w:i w:val="false"/>
          <w:iCs w:val="false"/>
          <w:color w:val="1B2B25"/>
          <w:sz w:val="20"/>
          <w:szCs w:val="20"/>
        </w:rPr>
        <w:t xml:space="preserve">Note anything for the monthly ops report.</w:t>
      </w:r>
    </w:p>
    <w:p>
      <w:pPr>
        <w:spacing w:after="40" w:before="60" w:line="276"/>
      </w:pPr>
      <w:r>
        <w:rPr>
          <w:rFonts w:ascii="Public Sans" w:cs="Public Sans" w:eastAsia="Public Sans" w:hAnsi="Public Sans"/>
          <w:b/>
          <w:bCs/>
          <w:i w:val="false"/>
          <w:iCs w:val="false"/>
          <w:color w:val="0E3A2C"/>
          <w:sz w:val="20"/>
          <w:szCs w:val="20"/>
        </w:rPr>
        <w:t xml:space="preserve">Checks</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Every at-risk deadline reviewed.</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No escalation left unaddressed.</w:t>
      </w:r>
    </w:p>
    <w:p>
      <w:pPr>
        <w:spacing w:after="60" w:before="60" w:line="276"/>
      </w:pPr>
      <w:r>
        <w:rPr>
          <w:rFonts w:ascii="Public Sans" w:cs="Public Sans" w:eastAsia="Public Sans" w:hAnsi="Public Sans"/>
          <w:b/>
          <w:bCs/>
          <w:i w:val="false"/>
          <w:iCs w:val="false"/>
          <w:color w:val="1B2B25"/>
          <w:sz w:val="20"/>
          <w:szCs w:val="20"/>
        </w:rPr>
        <w:t xml:space="preserve">Related SOPs: </w:t>
      </w:r>
      <w:r>
        <w:rPr>
          <w:rFonts w:ascii="Public Sans" w:cs="Public Sans" w:eastAsia="Public Sans" w:hAnsi="Public Sans"/>
          <w:b w:val="false"/>
          <w:bCs w:val="false"/>
          <w:i w:val="false"/>
          <w:iCs w:val="false"/>
          <w:color w:val="6A6A6A"/>
          <w:sz w:val="20"/>
          <w:szCs w:val="20"/>
        </w:rPr>
        <w:t xml:space="preserve">DEADLINE-Capture-v01, INTAKE-NewMatter-v01</w:t>
      </w:r>
    </w:p>
    <w:p>
      <w:pPr>
        <w:spacing w:after="40" w:before="0" w:line="276"/>
      </w:pPr>
      <w:r>
        <w:rPr>
          <w:rFonts w:ascii="Public Sans" w:cs="Public Sans" w:eastAsia="Public Sans" w:hAnsi="Public Sans"/>
          <w:b w:val="false"/>
          <w:bCs w:val="false"/>
          <w:i w:val="false"/>
          <w:iCs w:val="false"/>
          <w:color w:val="1B2B25"/>
          <w:sz w:val="20"/>
          <w:szCs w:val="20"/>
        </w:rPr>
        <w:t xml:space="preserve"/>
      </w:r>
    </w:p>
    <w:p>
      <w:pPr>
        <w:pStyle w:val="Heading2"/>
        <w:spacing w:after="70" w:before="160"/>
      </w:pPr>
      <w:r>
        <w:rPr>
          <w:rFonts w:ascii="Public Sans" w:cs="Public Sans" w:eastAsia="Public Sans" w:hAnsi="Public Sans"/>
          <w:b/>
          <w:bCs/>
          <w:i w:val="false"/>
          <w:iCs w:val="false"/>
          <w:color w:val="0E3A2C"/>
          <w:sz w:val="22"/>
          <w:szCs w:val="22"/>
        </w:rPr>
        <w:t xml:space="preserve">Holiday / Closure Coverage</w:t>
      </w:r>
    </w:p>
    <w:p>
      <w:pPr>
        <w:spacing w:after="80" w:before="0" w:line="276"/>
      </w:pPr>
      <w:r>
        <w:rPr>
          <w:rFonts w:ascii="Public Sans" w:cs="Public Sans" w:eastAsia="Public Sans" w:hAnsi="Public Sans"/>
          <w:b/>
          <w:bCs/>
          <w:i w:val="false"/>
          <w:iCs w:val="false"/>
          <w:color w:val="7A2833"/>
          <w:sz w:val="17"/>
          <w:szCs w:val="17"/>
        </w:rPr>
        <w:t xml:space="preserve">HOLIDAY-Coverage-v01</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2246"/>
        <w:gridCol w:w="7114"/>
      </w:tblGrid>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SOP ID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HOLIDAY-Coverage-v01</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Title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Holiday / Closure Coverage</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Owner (role)</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Coverage owner</w:t>
            </w:r>
          </w:p>
        </w:tc>
      </w:tr>
      <w:tr>
        <w:tc>
          <w:tcPr>
            <w:tcW w:type="dxa" w:w="2246"/>
            <w:tcMar>
              <w:top w:type="dxa" w:w="60"/>
              <w:left w:type="dxa" w:w="110"/>
              <w:bottom w:type="dxa" w:w="60"/>
              <w:right w:type="dxa" w:w="110"/>
            </w:tcMar>
          </w:tcPr>
          <w:p>
            <w:r>
              <w:rPr>
                <w:rFonts w:ascii="Public Sans" w:cs="Public Sans" w:eastAsia="Public Sans" w:hAnsi="Public Sans"/>
                <w:b/>
                <w:bCs/>
                <w:i w:val="false"/>
                <w:iCs w:val="false"/>
                <w:color w:val="1B2B25"/>
                <w:sz w:val="19"/>
                <w:szCs w:val="19"/>
              </w:rPr>
              <w:t xml:space="preserve">Last updated</w:t>
            </w:r>
          </w:p>
        </w:tc>
        <w:tc>
          <w:tcPr>
            <w:tcW w:type="dxa" w:w="7114"/>
            <w:tcMar>
              <w:top w:type="dxa" w:w="60"/>
              <w:left w:type="dxa" w:w="110"/>
              <w:bottom w:type="dxa" w:w="60"/>
              <w:right w:type="dxa" w:w="110"/>
            </w:tcMar>
          </w:tcPr>
          <w:p>
            <w:r>
              <w:rPr>
                <w:rFonts w:ascii="Public Sans" w:cs="Public Sans" w:eastAsia="Public Sans" w:hAnsi="Public Sans"/>
                <w:b w:val="false"/>
                <w:bCs w:val="false"/>
                <w:i w:val="false"/>
                <w:iCs w:val="false"/>
                <w:color w:val="1B2B25"/>
                <w:sz w:val="19"/>
                <w:szCs w:val="19"/>
              </w:rPr>
              <w:t xml:space="preserve">____ / adapt on change</w:t>
            </w:r>
          </w:p>
        </w:tc>
      </w:tr>
    </w:tbl>
    <w:p>
      <w:pPr>
        <w:spacing w:after="30" w:before="120" w:line="276"/>
      </w:pPr>
      <w:r>
        <w:rPr>
          <w:rFonts w:ascii="Public Sans" w:cs="Public Sans" w:eastAsia="Public Sans" w:hAnsi="Public Sans"/>
          <w:b/>
          <w:bCs/>
          <w:i w:val="false"/>
          <w:iCs w:val="false"/>
          <w:color w:val="0E3A2C"/>
          <w:sz w:val="20"/>
          <w:szCs w:val="20"/>
        </w:rPr>
        <w:t xml:space="preserve">Purpose</w:t>
      </w:r>
    </w:p>
    <w:p>
      <w:pPr>
        <w:spacing w:after="80" w:before="0" w:line="276"/>
      </w:pPr>
      <w:r>
        <w:rPr>
          <w:rFonts w:ascii="Public Sans" w:cs="Public Sans" w:eastAsia="Public Sans" w:hAnsi="Public Sans"/>
          <w:b w:val="false"/>
          <w:bCs w:val="false"/>
          <w:i w:val="false"/>
          <w:iCs w:val="false"/>
          <w:color w:val="1B2B25"/>
          <w:sz w:val="20"/>
          <w:szCs w:val="20"/>
        </w:rPr>
        <w:t xml:space="preserve">Keep deadlines safe during any planned closure by assigning coverage and rerouting escalation before the firm closes.</w:t>
      </w:r>
    </w:p>
    <w:p>
      <w:pPr>
        <w:spacing w:after="30" w:before="0" w:line="276"/>
      </w:pPr>
      <w:r>
        <w:rPr>
          <w:rFonts w:ascii="Public Sans" w:cs="Public Sans" w:eastAsia="Public Sans" w:hAnsi="Public Sans"/>
          <w:b/>
          <w:bCs/>
          <w:i w:val="false"/>
          <w:iCs w:val="false"/>
          <w:color w:val="0E3A2C"/>
          <w:sz w:val="20"/>
          <w:szCs w:val="20"/>
        </w:rPr>
        <w:t xml:space="preserve">Trigger</w:t>
      </w:r>
    </w:p>
    <w:p>
      <w:pPr>
        <w:spacing w:after="80" w:before="0" w:line="276"/>
      </w:pPr>
      <w:r>
        <w:rPr>
          <w:rFonts w:ascii="Public Sans" w:cs="Public Sans" w:eastAsia="Public Sans" w:hAnsi="Public Sans"/>
          <w:b w:val="false"/>
          <w:bCs w:val="false"/>
          <w:i w:val="false"/>
          <w:iCs w:val="false"/>
          <w:color w:val="1B2B25"/>
          <w:sz w:val="20"/>
          <w:szCs w:val="20"/>
        </w:rPr>
        <w:t xml:space="preserve">A planned closure appears on the calendar.</w:t>
      </w:r>
    </w:p>
    <w:p>
      <w:pPr>
        <w:spacing w:after="40" w:before="0" w:line="276"/>
      </w:pPr>
      <w:r>
        <w:rPr>
          <w:rFonts w:ascii="Public Sans" w:cs="Public Sans" w:eastAsia="Public Sans" w:hAnsi="Public Sans"/>
          <w:b/>
          <w:bCs/>
          <w:i w:val="false"/>
          <w:iCs w:val="false"/>
          <w:color w:val="0E3A2C"/>
          <w:sz w:val="20"/>
          <w:szCs w:val="20"/>
        </w:rPr>
        <w:t xml:space="preserve">Steps</w:t>
      </w:r>
    </w:p>
    <w:p>
      <w:pPr>
        <w:spacing w:after="60" w:before="0" w:line="264"/>
      </w:pPr>
      <w:r>
        <w:rPr>
          <w:rFonts w:ascii="Public Sans" w:cs="Public Sans" w:eastAsia="Public Sans" w:hAnsi="Public Sans"/>
          <w:b/>
          <w:bCs/>
          <w:i w:val="false"/>
          <w:iCs w:val="false"/>
          <w:color w:val="14614A"/>
          <w:sz w:val="20"/>
          <w:szCs w:val="20"/>
        </w:rPr>
        <w:t xml:space="preserve">1.  </w:t>
      </w:r>
      <w:r>
        <w:rPr>
          <w:rFonts w:ascii="Public Sans" w:cs="Public Sans" w:eastAsia="Public Sans" w:hAnsi="Public Sans"/>
          <w:b w:val="false"/>
          <w:bCs w:val="false"/>
          <w:i w:val="false"/>
          <w:iCs w:val="false"/>
          <w:color w:val="1B2B25"/>
          <w:sz w:val="20"/>
          <w:szCs w:val="20"/>
        </w:rPr>
        <w:t xml:space="preserve">Start the Holiday Coverage Checklist before the closure.</w:t>
      </w:r>
    </w:p>
    <w:p>
      <w:pPr>
        <w:spacing w:after="60" w:before="0" w:line="264"/>
      </w:pPr>
      <w:r>
        <w:rPr>
          <w:rFonts w:ascii="Public Sans" w:cs="Public Sans" w:eastAsia="Public Sans" w:hAnsi="Public Sans"/>
          <w:b/>
          <w:bCs/>
          <w:i w:val="false"/>
          <w:iCs w:val="false"/>
          <w:color w:val="14614A"/>
          <w:sz w:val="20"/>
          <w:szCs w:val="20"/>
        </w:rPr>
        <w:t xml:space="preserve">2.  </w:t>
      </w:r>
      <w:r>
        <w:rPr>
          <w:rFonts w:ascii="Public Sans" w:cs="Public Sans" w:eastAsia="Public Sans" w:hAnsi="Public Sans"/>
          <w:b w:val="false"/>
          <w:bCs w:val="false"/>
          <w:i w:val="false"/>
          <w:iCs w:val="false"/>
          <w:color w:val="1B2B25"/>
          <w:sz w:val="20"/>
          <w:szCs w:val="20"/>
        </w:rPr>
        <w:t xml:space="preserve">Assign a coverage owner present throughout.</w:t>
      </w:r>
    </w:p>
    <w:p>
      <w:pPr>
        <w:spacing w:after="60" w:before="0" w:line="264"/>
      </w:pPr>
      <w:r>
        <w:rPr>
          <w:rFonts w:ascii="Public Sans" w:cs="Public Sans" w:eastAsia="Public Sans" w:hAnsi="Public Sans"/>
          <w:b/>
          <w:bCs/>
          <w:i w:val="false"/>
          <w:iCs w:val="false"/>
          <w:color w:val="14614A"/>
          <w:sz w:val="20"/>
          <w:szCs w:val="20"/>
        </w:rPr>
        <w:t xml:space="preserve">3.  </w:t>
      </w:r>
      <w:r>
        <w:rPr>
          <w:rFonts w:ascii="Public Sans" w:cs="Public Sans" w:eastAsia="Public Sans" w:hAnsi="Public Sans"/>
          <w:b w:val="false"/>
          <w:bCs w:val="false"/>
          <w:i w:val="false"/>
          <w:iCs w:val="false"/>
          <w:color w:val="1B2B25"/>
          <w:sz w:val="20"/>
          <w:szCs w:val="20"/>
        </w:rPr>
        <w:t xml:space="preserve">List every deadline during or just after the closure (matter numbers) and confirm a present owner for each.</w:t>
      </w:r>
    </w:p>
    <w:p>
      <w:pPr>
        <w:spacing w:after="60" w:before="0" w:line="264"/>
      </w:pPr>
      <w:r>
        <w:rPr>
          <w:rFonts w:ascii="Public Sans" w:cs="Public Sans" w:eastAsia="Public Sans" w:hAnsi="Public Sans"/>
          <w:b/>
          <w:bCs/>
          <w:i w:val="false"/>
          <w:iCs w:val="false"/>
          <w:color w:val="14614A"/>
          <w:sz w:val="20"/>
          <w:szCs w:val="20"/>
        </w:rPr>
        <w:t xml:space="preserve">4.  </w:t>
      </w:r>
      <w:r>
        <w:rPr>
          <w:rFonts w:ascii="Public Sans" w:cs="Public Sans" w:eastAsia="Public Sans" w:hAnsi="Public Sans"/>
          <w:b w:val="false"/>
          <w:bCs w:val="false"/>
          <w:i w:val="false"/>
          <w:iCs w:val="false"/>
          <w:color w:val="1B2B25"/>
          <w:sz w:val="20"/>
          <w:szCs w:val="20"/>
        </w:rPr>
        <w:t xml:space="preserve">Reroute escalation and configure client communication.</w:t>
      </w:r>
    </w:p>
    <w:p>
      <w:pPr>
        <w:spacing w:after="60" w:before="0" w:line="264"/>
      </w:pPr>
      <w:r>
        <w:rPr>
          <w:rFonts w:ascii="Public Sans" w:cs="Public Sans" w:eastAsia="Public Sans" w:hAnsi="Public Sans"/>
          <w:b/>
          <w:bCs/>
          <w:i w:val="false"/>
          <w:iCs w:val="false"/>
          <w:color w:val="14614A"/>
          <w:sz w:val="20"/>
          <w:szCs w:val="20"/>
        </w:rPr>
        <w:t xml:space="preserve">5.  </w:t>
      </w:r>
      <w:r>
        <w:rPr>
          <w:rFonts w:ascii="Public Sans" w:cs="Public Sans" w:eastAsia="Public Sans" w:hAnsi="Public Sans"/>
          <w:b w:val="false"/>
          <w:bCs w:val="false"/>
          <w:i w:val="false"/>
          <w:iCs w:val="false"/>
          <w:color w:val="1B2B25"/>
          <w:sz w:val="20"/>
          <w:szCs w:val="20"/>
        </w:rPr>
        <w:t xml:space="preserve">Get the attorney's pre-close sign-off.</w:t>
      </w:r>
    </w:p>
    <w:p>
      <w:pPr>
        <w:spacing w:after="40" w:before="60" w:line="276"/>
      </w:pPr>
      <w:r>
        <w:rPr>
          <w:rFonts w:ascii="Public Sans" w:cs="Public Sans" w:eastAsia="Public Sans" w:hAnsi="Public Sans"/>
          <w:b/>
          <w:bCs/>
          <w:i w:val="false"/>
          <w:iCs w:val="false"/>
          <w:color w:val="0E3A2C"/>
          <w:sz w:val="20"/>
          <w:szCs w:val="20"/>
        </w:rPr>
        <w:t xml:space="preserve">Checks</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Checklist completed before closure.</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Every covered deadline has a present owner.</w:t>
      </w:r>
    </w:p>
    <w:p>
      <w:pPr>
        <w:spacing w:after="50" w:before="0" w:line="264"/>
      </w:pPr>
      <w:r>
        <w:rPr>
          <w:rFonts w:ascii="Public Sans" w:cs="Public Sans" w:eastAsia="Public Sans" w:hAnsi="Public Sans"/>
          <w:b/>
          <w:bCs/>
          <w:i w:val="false"/>
          <w:iCs w:val="false"/>
          <w:color w:val="14614A"/>
          <w:sz w:val="20"/>
          <w:szCs w:val="20"/>
        </w:rPr>
        <w:t xml:space="preserve">✓  </w:t>
      </w:r>
      <w:r>
        <w:rPr>
          <w:rFonts w:ascii="Public Sans" w:cs="Public Sans" w:eastAsia="Public Sans" w:hAnsi="Public Sans"/>
          <w:b w:val="false"/>
          <w:bCs w:val="false"/>
          <w:i w:val="false"/>
          <w:iCs w:val="false"/>
          <w:color w:val="1B2B25"/>
          <w:sz w:val="20"/>
          <w:szCs w:val="20"/>
        </w:rPr>
        <w:t xml:space="preserve">Attorney signed off.</w:t>
      </w:r>
    </w:p>
    <w:p>
      <w:pPr>
        <w:spacing w:after="60" w:before="60" w:line="276"/>
      </w:pPr>
      <w:r>
        <w:rPr>
          <w:rFonts w:ascii="Public Sans" w:cs="Public Sans" w:eastAsia="Public Sans" w:hAnsi="Public Sans"/>
          <w:b/>
          <w:bCs/>
          <w:i w:val="false"/>
          <w:iCs w:val="false"/>
          <w:color w:val="1B2B25"/>
          <w:sz w:val="20"/>
          <w:szCs w:val="20"/>
        </w:rPr>
        <w:t xml:space="preserve">Related SOPs: </w:t>
      </w:r>
      <w:r>
        <w:rPr>
          <w:rFonts w:ascii="Public Sans" w:cs="Public Sans" w:eastAsia="Public Sans" w:hAnsi="Public Sans"/>
          <w:b w:val="false"/>
          <w:bCs w:val="false"/>
          <w:i w:val="false"/>
          <w:iCs w:val="false"/>
          <w:color w:val="6A6A6A"/>
          <w:sz w:val="20"/>
          <w:szCs w:val="20"/>
        </w:rPr>
        <w:t xml:space="preserve">DEADLINE-Capture-v01, DEADLINE-WeeklyReview-v01</w:t>
      </w:r>
    </w:p>
    <w:p>
      <w:pPr>
        <w:pBdr>
          <w:top w:val="single" w:color="D9D9D9" w:sz="4"/>
        </w:pBdr>
        <w:spacing w:after="60" w:before="200"/>
      </w:pPr>
      <w:r>
        <w:rPr>
          <w:rFonts w:ascii="Public Sans" w:cs="Public Sans" w:eastAsia="Public Sans" w:hAnsi="Public Sans"/>
          <w:b/>
          <w:bCs/>
          <w:i w:val="false"/>
          <w:iCs w:val="false"/>
          <w:color w:val="7A2833"/>
          <w:sz w:val="15"/>
          <w:szCs w:val="15"/>
        </w:rPr>
        <w:t xml:space="preserve">This document supplements, never replaces, official docketing. FirmFooting is not a law firm and does not provide legal advice. </w:t>
      </w:r>
      <w:r>
        <w:rPr>
          <w:rFonts w:ascii="Public Sans" w:cs="Public Sans" w:eastAsia="Public Sans" w:hAnsi="Public Sans"/>
          <w:b w:val="false"/>
          <w:bCs w:val="false"/>
          <w:i w:val="false"/>
          <w:iCs w:val="false"/>
          <w:color w:val="6A6A6A"/>
          <w:sz w:val="15"/>
          <w:szCs w:val="15"/>
        </w:rPr>
        <w:t xml:space="preserve">SOPs describe operational procedures on matter numbers and metadata only, never privileged content. The attorney owns the law, the official docket, and every legal judgment.</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Public Sans" w:cs="Public Sans" w:eastAsia="Public Sans" w:hAnsi="Public Sans"/>
        <w:b w:val="false"/>
        <w:bCs w:val="false"/>
        <w:i w:val="false"/>
        <w:iCs w:val="false"/>
        <w:color w:val="6A6A6A"/>
        <w:sz w:val="15"/>
        <w:szCs w:val="15"/>
      </w:rPr>
      <w:t xml:space="preserve">FirmFooting  |  firmfooting.us  |  </w:t>
    </w:r>
    <w:r>
      <w:rPr>
        <w:rFonts w:ascii="Public Sans" w:cs="Public Sans" w:eastAsia="Public Sans" w:hAnsi="Public Sans"/>
        <w:color w:val="6A6A6A"/>
        <w:sz w:val="15"/>
        <w:szCs w:val="15"/>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ublic Sans" w:cs="Public Sans" w:eastAsia="Public Sans" w:hAnsi="Public Sans"/>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2026-08-20T06:36:35.715Z</dcterms:created>
  <dcterms:modified xsi:type="dcterms:W3CDTF">2026-08-20T06:36:35.715Z</dcterms:modified>
</cp:coreProperties>
</file>

<file path=docProps/custom.xml><?xml version="1.0" encoding="utf-8"?>
<Properties xmlns="http://schemas.openxmlformats.org/officeDocument/2006/custom-properties" xmlns:vt="http://schemas.openxmlformats.org/officeDocument/2006/docPropsVTypes"/>
</file>