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E3A2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20"/>
            </w:pPr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34"/>
                <w:szCs w:val="34"/>
              </w:rPr>
              <w:t xml:space="preserve">Monthly Firm Operations Report</w:t>
            </w:r>
          </w:p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CDE4D8"/>
                <w:sz w:val="18"/>
                <w:szCs w:val="18"/>
              </w:rPr>
              <w:t xml:space="preserve">A one-page-per-section operating picture. Adapt freely; this is a template.</w:t>
            </w:r>
          </w:p>
        </w:tc>
      </w:tr>
    </w:tbl>
    <w:p>
      <w:pPr>
        <w:spacing w:after="8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/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Firm / office:</w:t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Reporting month:</w:t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Prepared by:</w:t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</w:t>
      </w:r>
    </w:p>
    <w:p>
      <w:pPr>
        <w:spacing w:after="120" w:before="0" w:line="276"/>
      </w:pPr>
      <w:r>
        <w:rPr>
          <w:rFonts w:ascii="Public Sans" w:cs="Public Sans" w:eastAsia="Public Sans" w:hAnsi="Public Sans"/>
          <w:b w:val="false"/>
          <w:bCs w:val="false"/>
          <w:i/>
          <w:iCs/>
          <w:color w:val="6A6A6A"/>
          <w:sz w:val="18"/>
          <w:szCs w:val="18"/>
        </w:rPr>
        <w:t xml:space="preserve">Use this template each month. Fill the metric tables from your own systems (deadline system, intake pipeline, matter list); the numbers are yours. Keep the whole report to a couple of pages.</w:t>
      </w:r>
    </w:p>
    <w:p>
      <w:pPr>
        <w:pStyle w:val="Heading1"/>
        <w:spacing w:after="100" w:before="2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4614A"/>
          <w:sz w:val="26"/>
          <w:szCs w:val="26"/>
        </w:rPr>
        <w:t xml:space="preserve">1. Deadline-risk posture</w:t>
      </w:r>
    </w:p>
    <w:p>
      <w:pPr>
        <w:spacing w:after="1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20"/>
          <w:szCs w:val="20"/>
        </w:rPr>
        <w:t xml:space="preserve">The firm's exposure this month: what is at risk, what escalated, what got missed or nearly missed.</w:t>
      </w:r>
    </w:p>
    <w:tbl>
      <w:tblPr>
        <w:tblW w:type="dxa" w:w="936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5803"/>
        <w:gridCol w:w="3557"/>
      </w:tblGrid>
      <w:tr>
        <w:trPr>
          <w:tblHeader/>
        </w:trPr>
        <w:tc>
          <w:tcPr>
            <w:tcW w:type="dxa" w:w="5803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Metric</w:t>
            </w:r>
          </w:p>
        </w:tc>
        <w:tc>
          <w:tcPr>
            <w:tcW w:type="dxa" w:w="3557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This month</w:t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Deadlines at risk (period end)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Escalations raised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Misses / near-misses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Redundancy / review completed?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10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Notes / commentary: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pStyle w:val="Heading1"/>
        <w:spacing w:after="100" w:before="2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4614A"/>
          <w:sz w:val="26"/>
          <w:szCs w:val="26"/>
        </w:rPr>
        <w:t xml:space="preserve">2. Intake &amp; conversion</w:t>
      </w:r>
    </w:p>
    <w:p>
      <w:pPr>
        <w:spacing w:after="1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20"/>
          <w:szCs w:val="20"/>
        </w:rPr>
        <w:t xml:space="preserve">How intake performed: volume, speed, and whether interest became engagements.</w:t>
      </w:r>
    </w:p>
    <w:tbl>
      <w:tblPr>
        <w:tblW w:type="dxa" w:w="936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5803"/>
        <w:gridCol w:w="3557"/>
      </w:tblGrid>
      <w:tr>
        <w:trPr>
          <w:tblHeader/>
        </w:trPr>
        <w:tc>
          <w:tcPr>
            <w:tcW w:type="dxa" w:w="5803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Metric</w:t>
            </w:r>
          </w:p>
        </w:tc>
        <w:tc>
          <w:tcPr>
            <w:tcW w:type="dxa" w:w="3557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This month</w:t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Inquiries received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Median response time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Consults booked / held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Conversion to engaged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10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Notes / commentary: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pStyle w:val="Heading1"/>
        <w:spacing w:after="100" w:before="2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4614A"/>
          <w:sz w:val="26"/>
          <w:szCs w:val="26"/>
        </w:rPr>
        <w:t xml:space="preserve">3. Capacity &amp; load</w:t>
      </w:r>
    </w:p>
    <w:p>
      <w:pPr>
        <w:spacing w:after="1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20"/>
          <w:szCs w:val="20"/>
        </w:rPr>
        <w:t xml:space="preserve">Whether the team is appropriately loaded: matter counts and distribution.</w:t>
      </w:r>
    </w:p>
    <w:tbl>
      <w:tblPr>
        <w:tblW w:type="dxa" w:w="936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5803"/>
        <w:gridCol w:w="3557"/>
      </w:tblGrid>
      <w:tr>
        <w:trPr>
          <w:tblHeader/>
        </w:trPr>
        <w:tc>
          <w:tcPr>
            <w:tcW w:type="dxa" w:w="5803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Metric</w:t>
            </w:r>
          </w:p>
        </w:tc>
        <w:tc>
          <w:tcPr>
            <w:tcW w:type="dxa" w:w="3557"/>
            <w:shd w:fill="14614A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This month</w:t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Open matters (total)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Opened this period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Closed this period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803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>Load flags (anyone buried?)</w:t>
            </w:r>
          </w:p>
        </w:tc>
        <w:tc>
          <w:tcPr>
            <w:tcW w:type="dxa" w:w="3557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Public Sans" w:cs="Public Sans" w:eastAsia="Public Sans" w:hAnsi="Public Sans"/>
                <w:b w:val="false"/>
                <w:bCs w:val="false"/>
                <w:i w:val="false"/>
                <w:iCs w:val="false"/>
                <w:color w:val="1B2B25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10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Notes / commentary: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pStyle w:val="Heading1"/>
        <w:spacing w:after="100" w:before="2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4614A"/>
          <w:sz w:val="26"/>
          <w:szCs w:val="26"/>
        </w:rPr>
        <w:t xml:space="preserve">4. What changed</w:t>
      </w:r>
    </w:p>
    <w:p>
      <w:pPr>
        <w:spacing w:after="1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20"/>
          <w:szCs w:val="20"/>
        </w:rPr>
        <w:t xml:space="preserve">Narrative: what changed operationally this month, what worked, what did not. No metrics table; write it plainly.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40" w:before="10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Notes / commentary: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pStyle w:val="Heading1"/>
        <w:spacing w:after="100" w:before="2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4614A"/>
          <w:sz w:val="26"/>
          <w:szCs w:val="26"/>
        </w:rPr>
        <w:t xml:space="preserve">5. Recommended actions</w:t>
      </w:r>
    </w:p>
    <w:p>
      <w:pPr>
        <w:spacing w:after="1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20"/>
          <w:szCs w:val="20"/>
        </w:rPr>
        <w:t xml:space="preserve">The two or three highest-leverage operational moves for next month, each with an owner.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40" w:before="10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>Notes / commentary: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1B2B25"/>
          <w:sz w:val="20"/>
          <w:szCs w:val="20"/>
        </w:rPr>
        <w:t xml:space="preserve"/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1B2B25"/>
          <w:sz w:val="20"/>
          <w:szCs w:val="20"/>
        </w:rPr>
        <w:t xml:space="preserve"> </w:t>
      </w:r>
      <w:r>
        <w:rPr>
          <w:u w:val="single"/>
        </w:rPr>
        <w:t xml:space="preserve">                                                                                          </w:t>
      </w:r>
    </w:p>
    <w:p>
      <w:pPr>
        <w:pBdr>
          <w:top w:val="single" w:color="D9D9D9" w:sz="4"/>
        </w:pBdr>
        <w:spacing w:after="60" w:before="200"/>
      </w:pPr>
      <w:r>
        <w:rPr>
          <w:rFonts w:ascii="Public Sans" w:cs="Public Sans" w:eastAsia="Public Sans" w:hAnsi="Public Sans"/>
          <w:b/>
          <w:bCs/>
          <w:i w:val="false"/>
          <w:iCs w:val="false"/>
          <w:color w:val="7A2833"/>
          <w:sz w:val="15"/>
          <w:szCs w:val="15"/>
        </w:rPr>
        <w:t xml:space="preserve">This document supplements, never replaces, official docketing. FirmFooting is not a law firm and does not provide legal advice. </w:t>
      </w: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olor w:val="6A6A6A"/>
          <w:sz w:val="15"/>
          <w:szCs w:val="15"/>
        </w:rPr>
        <w:t xml:space="preserve">Report on matter numbers and metadata only, never privileged content. The attorney owns the law, the official docket, and every legal judgment.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Public Sans" w:cs="Public Sans" w:eastAsia="Public Sans" w:hAnsi="Public Sans"/>
        <w:b w:val="false"/>
        <w:bCs w:val="false"/>
        <w:i w:val="false"/>
        <w:iCs w:val="false"/>
        <w:color w:val="6A6A6A"/>
        <w:sz w:val="15"/>
        <w:szCs w:val="15"/>
      </w:rPr>
      <w:t xml:space="preserve">FirmFooting  |  firmfooting.us  |  </w:t>
    </w:r>
    <w:r>
      <w:rPr>
        <w:rFonts w:ascii="Public Sans" w:cs="Public Sans" w:eastAsia="Public Sans" w:hAnsi="Public Sans"/>
        <w:color w:val="6A6A6A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ublic Sans" w:cs="Public Sans" w:eastAsia="Public Sans" w:hAnsi="Public Sans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2026-08-20T06:36:35.674Z</dcterms:created>
  <dcterms:modified xsi:type="dcterms:W3CDTF">2026-08-20T06:36:35.686Z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